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27DF2F">
      <w:pPr>
        <w:spacing w:before="156" w:afterLines="50" w:line="360" w:lineRule="auto"/>
        <w:ind w:firstLine="0" w:firstLineChars="0"/>
        <w:jc w:val="center"/>
        <w:outlineLvl w:val="0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202</w:t>
      </w:r>
      <w:r>
        <w:rPr>
          <w:rFonts w:hint="eastAsia" w:eastAsia="方正小标宋简体"/>
          <w:sz w:val="44"/>
          <w:szCs w:val="44"/>
          <w:lang w:val="en-US" w:eastAsia="zh-CN"/>
        </w:rPr>
        <w:t>4</w:t>
      </w:r>
      <w:r>
        <w:rPr>
          <w:rFonts w:hint="eastAsia" w:eastAsia="方正小标宋简体"/>
          <w:sz w:val="44"/>
          <w:szCs w:val="44"/>
        </w:rPr>
        <w:t>年北京华新凯业物资再生有限公司</w:t>
      </w:r>
    </w:p>
    <w:p w14:paraId="55EAB082">
      <w:pPr>
        <w:spacing w:before="156" w:afterLines="50" w:line="360" w:lineRule="auto"/>
        <w:ind w:firstLine="0" w:firstLineChars="0"/>
        <w:jc w:val="center"/>
        <w:outlineLvl w:val="0"/>
        <w:rPr>
          <w:rFonts w:eastAsia="黑体"/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企业自行监测</w:t>
      </w:r>
      <w:r>
        <w:rPr>
          <w:rFonts w:hint="eastAsia" w:eastAsia="方正小标宋简体"/>
          <w:sz w:val="44"/>
          <w:szCs w:val="44"/>
        </w:rPr>
        <w:t>年度报告</w:t>
      </w:r>
    </w:p>
    <w:p w14:paraId="483A66D4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企业基本情况</w:t>
      </w:r>
    </w:p>
    <w:p w14:paraId="629CECEF">
      <w:pPr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北京华新凯业物资再生有限公司</w:t>
      </w:r>
      <w:r>
        <w:rPr>
          <w:rFonts w:eastAsia="仿宋_GB2312"/>
          <w:color w:val="000000"/>
          <w:sz w:val="32"/>
          <w:szCs w:val="32"/>
        </w:rPr>
        <w:t>位于</w:t>
      </w:r>
      <w:r>
        <w:rPr>
          <w:rFonts w:hint="eastAsia" w:eastAsia="仿宋_GB2312"/>
          <w:color w:val="000000"/>
          <w:sz w:val="32"/>
          <w:szCs w:val="32"/>
        </w:rPr>
        <w:t>顺义区高丽营镇前渠河村，南临北六环200米，北靠顺沙路，西距京承高速4公里，东至顺义城区10公里。厂区占地面积约50亩，土地用地为工业用地，厂区内各类用房建筑面积6000多平方米。厂区按功能划分为办公区、报废车辆贮存区、拆解作业区、精拆区、配件仓库、危废仓库等。</w:t>
      </w:r>
    </w:p>
    <w:p w14:paraId="56A6A63D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监测方案的调整变化情况</w:t>
      </w:r>
    </w:p>
    <w:p w14:paraId="0E0F99F5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检测方案无调整，且我公司采用过滤，冷凝+活性炭吸附，等离子+活性炭吸附，絮凝+沉淀+活性炭吸附组合技术的处理工艺，污染防治设施运行一切正常。</w:t>
      </w:r>
    </w:p>
    <w:p w14:paraId="3EFB6DB0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监测情况</w:t>
      </w:r>
    </w:p>
    <w:p w14:paraId="359AFFF1">
      <w:pPr>
        <w:tabs>
          <w:tab w:val="left" w:pos="0"/>
        </w:tabs>
        <w:spacing w:beforeLines="0" w:line="240" w:lineRule="auto"/>
        <w:ind w:firstLine="640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年，本企业共生产29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eastAsia="仿宋_GB2312"/>
          <w:color w:val="000000"/>
          <w:sz w:val="32"/>
          <w:szCs w:val="32"/>
        </w:rPr>
        <w:t>天，开展环境监测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eastAsia="仿宋_GB2312"/>
          <w:color w:val="000000"/>
          <w:sz w:val="32"/>
          <w:szCs w:val="32"/>
        </w:rPr>
        <w:t>次。其中，对企业3个废气监测点开展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eastAsia="仿宋_GB2312"/>
          <w:color w:val="000000"/>
          <w:sz w:val="32"/>
          <w:szCs w:val="32"/>
        </w:rPr>
        <w:t>次监测</w:t>
      </w:r>
      <w:r>
        <w:rPr>
          <w:rFonts w:hint="eastAsia" w:eastAsia="仿宋_GB2312"/>
          <w:sz w:val="32"/>
          <w:szCs w:val="32"/>
        </w:rPr>
        <w:t>，对1个废水监测点开展1次监测，厂界噪声开展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次监测，无组织废气开展监测</w:t>
      </w:r>
      <w:r>
        <w:rPr>
          <w:rFonts w:hint="eastAsia" w:eastAsia="仿宋_GB2312"/>
          <w:sz w:val="32"/>
          <w:szCs w:val="32"/>
          <w:lang w:val="en-US" w:eastAsia="zh-CN"/>
        </w:rPr>
        <w:t>1</w:t>
      </w:r>
      <w:r>
        <w:rPr>
          <w:rFonts w:hint="eastAsia" w:eastAsia="仿宋_GB2312"/>
          <w:sz w:val="32"/>
          <w:szCs w:val="32"/>
        </w:rPr>
        <w:t>次。</w:t>
      </w:r>
    </w:p>
    <w:p w14:paraId="4C0BC941">
      <w:pPr>
        <w:numPr>
          <w:ilvl w:val="0"/>
          <w:numId w:val="1"/>
        </w:numPr>
        <w:tabs>
          <w:tab w:val="left" w:pos="0"/>
        </w:tabs>
        <w:spacing w:beforeLines="0" w:line="240" w:lineRule="auto"/>
        <w:ind w:left="0" w:firstLine="537" w:firstLineChars="168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监测结果</w:t>
      </w:r>
    </w:p>
    <w:p w14:paraId="59896738"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1．废气污染物排放监测结果</w:t>
      </w:r>
    </w:p>
    <w:p w14:paraId="24796319"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全年共监测废气污染物2项，包括颗粒物、非甲烷总烃。其中，颗粒物共监测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eastAsia="仿宋_GB2312"/>
          <w:color w:val="000000"/>
          <w:sz w:val="32"/>
          <w:szCs w:val="32"/>
        </w:rPr>
        <w:t>次，年平均监测浓度为1.7mg/m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，监测浓度最大值为2.9mg/m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，最小值为1mg/m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，达标率为100%。非甲烷总烃共监测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eastAsia="仿宋_GB2312"/>
          <w:color w:val="000000"/>
          <w:sz w:val="32"/>
          <w:szCs w:val="32"/>
        </w:rPr>
        <w:t>次，年平均浓度为17.27 mg/ 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，监测浓度最大值为31.4mg/ 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，最小值为0.5 mg/ m</w:t>
      </w:r>
      <w:r>
        <w:rPr>
          <w:rFonts w:hint="eastAsia" w:eastAsia="仿宋_GB2312"/>
          <w:color w:val="000000"/>
          <w:sz w:val="32"/>
          <w:szCs w:val="32"/>
          <w:vertAlign w:val="superscript"/>
        </w:rPr>
        <w:t>3</w:t>
      </w:r>
      <w:r>
        <w:rPr>
          <w:rFonts w:hint="eastAsia" w:eastAsia="仿宋_GB2312"/>
          <w:color w:val="000000"/>
          <w:sz w:val="32"/>
          <w:szCs w:val="32"/>
        </w:rPr>
        <w:t>，达标率100%。</w:t>
      </w:r>
    </w:p>
    <w:p w14:paraId="2D6B1695">
      <w:pPr>
        <w:tabs>
          <w:tab w:val="left" w:pos="0"/>
        </w:tabs>
        <w:spacing w:beforeLines="0" w:line="240" w:lineRule="auto"/>
        <w:ind w:firstLine="537" w:firstLineChars="168"/>
        <w:jc w:val="left"/>
        <w:outlineLvl w:val="0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2．废水污染物排放监测结果</w:t>
      </w:r>
    </w:p>
    <w:p w14:paraId="781A5DF1">
      <w:pPr>
        <w:tabs>
          <w:tab w:val="left" w:pos="0"/>
        </w:tabs>
        <w:spacing w:beforeLines="0" w:line="240" w:lineRule="auto"/>
        <w:ind w:firstLine="537" w:firstLineChars="168"/>
        <w:jc w:val="left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全年共监测废水污染物5项，包括PH值、悬浮物、化学需氧量、氨氮、石油类，共监测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eastAsia="仿宋_GB2312"/>
          <w:color w:val="000000"/>
          <w:sz w:val="32"/>
          <w:szCs w:val="32"/>
        </w:rPr>
        <w:t>次，达标率为100%。</w:t>
      </w:r>
    </w:p>
    <w:p w14:paraId="14C718D4">
      <w:pPr>
        <w:spacing w:beforeLines="0" w:line="240" w:lineRule="auto"/>
        <w:ind w:left="538" w:firstLine="0" w:firstLineChars="0"/>
        <w:jc w:val="lef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五、污染物排放量情况</w:t>
      </w:r>
    </w:p>
    <w:p w14:paraId="1F65724A">
      <w:pPr>
        <w:spacing w:before="156"/>
        <w:ind w:firstLine="640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1．固体废弃物的类型：废铝，废塑料，废铁，废铜，废橡胶，杂料；详细数量见下表。处置方式：均由下游企业运走。</w:t>
      </w:r>
    </w:p>
    <w:p w14:paraId="1D931455">
      <w:pPr>
        <w:spacing w:before="156"/>
        <w:ind w:firstLine="640"/>
        <w:rPr>
          <w:rFonts w:hint="eastAsia" w:eastAsia="仿宋_GB2312"/>
          <w:color w:val="000000"/>
          <w:sz w:val="32"/>
          <w:szCs w:val="32"/>
        </w:rPr>
      </w:pPr>
    </w:p>
    <w:tbl>
      <w:tblPr>
        <w:tblStyle w:val="5"/>
        <w:tblW w:w="0" w:type="auto"/>
        <w:tblInd w:w="9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1451"/>
        <w:gridCol w:w="1114"/>
        <w:gridCol w:w="1339"/>
        <w:gridCol w:w="1039"/>
        <w:gridCol w:w="1027"/>
        <w:gridCol w:w="1764"/>
        <w:gridCol w:w="890"/>
        <w:gridCol w:w="666"/>
      </w:tblGrid>
      <w:tr w14:paraId="05BA6460">
        <w:trPr>
          <w:trHeight w:val="620" w:hRule="atLeast"/>
        </w:trPr>
        <w:tc>
          <w:tcPr>
            <w:tcW w:w="986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5162D5">
            <w:pPr>
              <w:widowControl/>
              <w:spacing w:beforeLines="0" w:line="240" w:lineRule="auto"/>
              <w:ind w:firstLine="560" w:firstLineChars="0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</w:rPr>
              <w:t>北京华新凯业物资再生有限公司2023年度固体废物管理台账</w:t>
            </w:r>
          </w:p>
        </w:tc>
      </w:tr>
      <w:tr w14:paraId="598FE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B2FB2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4"/>
              </w:rPr>
              <w:t>序号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78BB54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物料名称</w:t>
            </w:r>
          </w:p>
        </w:tc>
        <w:tc>
          <w:tcPr>
            <w:tcW w:w="11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58C6B8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库存单位</w:t>
            </w:r>
          </w:p>
        </w:tc>
        <w:tc>
          <w:tcPr>
            <w:tcW w:w="13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F12482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前期贮存量</w:t>
            </w:r>
          </w:p>
        </w:tc>
        <w:tc>
          <w:tcPr>
            <w:tcW w:w="10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FDF28AF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产生量</w:t>
            </w:r>
          </w:p>
        </w:tc>
        <w:tc>
          <w:tcPr>
            <w:tcW w:w="10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005F6DAF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处理量</w:t>
            </w:r>
          </w:p>
        </w:tc>
        <w:tc>
          <w:tcPr>
            <w:tcW w:w="17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26917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4"/>
              </w:rPr>
              <w:t>流向</w:t>
            </w:r>
          </w:p>
        </w:tc>
        <w:tc>
          <w:tcPr>
            <w:tcW w:w="8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407C60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贮存量</w:t>
            </w:r>
          </w:p>
        </w:tc>
        <w:tc>
          <w:tcPr>
            <w:tcW w:w="6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AF14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4"/>
              </w:rPr>
              <w:t>属性</w:t>
            </w:r>
          </w:p>
        </w:tc>
      </w:tr>
      <w:tr w14:paraId="06B3B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47BAB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20E77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废锂电池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5275E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941B3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15.4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944C4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341.4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A2A22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345.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9176A2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D13C5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1.3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CCE9F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1BBDF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0C46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DAC570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废钢铁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AFF28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C3511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2.65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90501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7650.94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8A4A3C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17702.09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CAA6E4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9D360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21.5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3155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0F805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95C5EB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92CC81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废铝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B8F3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0CF080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14.61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F793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941.88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2FE4C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890.89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49260A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2EBB5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65.6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D42E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54101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D9A0E4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A53F0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废配件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DDA96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个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324F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21763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71CDD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103096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E3929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107647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124370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50CA2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17212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BFBBC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5EA57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FA754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D876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废轮胎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795C1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个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9A25A7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0.00 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3D9BB8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673.54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77A0CE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673.54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90D864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66B2BF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A976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13E84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999E9B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6160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废塑料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3FBC3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F5EF5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27.23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D642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488.15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59D35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506.47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68DDD05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1DD612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8.91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309A14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72FFF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A869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3DED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废铜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D37B4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64B5F7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1.4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F2E3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333.21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B9CBC6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295.3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0C2D44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32726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39.31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01661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73DFE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99AD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3F4A5B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废橡胶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03ECA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6C987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4.81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EEBC5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48.43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7E273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42.86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27335B8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C801FA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10.38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D5118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5D28F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2D410F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A848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废杂料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80102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4B4C47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6.94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E89CC9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067.17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D5FA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069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 xml:space="preserve"> 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203E2D8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02775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5.11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AC5A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 w14:paraId="5C54A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E2ED2B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44C3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废铅酸蓄电池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99A8B08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DAB60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377A1F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9.93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B0B71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26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9.93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140B0ED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F8B0F8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33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0C12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危废</w:t>
            </w:r>
          </w:p>
        </w:tc>
      </w:tr>
      <w:tr w14:paraId="1D84E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76BA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82D1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废机油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F6C0E5E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FC83F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646D9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55.65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700D49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51.55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06FFF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委托外单位处置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A1BE50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8.1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71965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危废</w:t>
            </w:r>
          </w:p>
        </w:tc>
      </w:tr>
      <w:tr w14:paraId="643D6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25317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BD3596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废三元（粉）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6672371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47D6C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7D2851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8.76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814407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7.71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7A0FD000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CF362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1.05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2CF38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危废</w:t>
            </w:r>
          </w:p>
        </w:tc>
      </w:tr>
      <w:tr w14:paraId="46BA8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5631C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BC7D1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废防冻液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C70DE6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E21E8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E62AA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21.91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B7A7F4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17.41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F41C711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委托外单位利用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6A769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4.5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B854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危废</w:t>
            </w:r>
          </w:p>
        </w:tc>
      </w:tr>
      <w:tr w14:paraId="16A74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F73B6D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1451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151BE4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废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线路板</w:t>
            </w:r>
          </w:p>
        </w:tc>
        <w:tc>
          <w:tcPr>
            <w:tcW w:w="1114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</w:tcPr>
          <w:p w14:paraId="38B2EF23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EA94A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95EBD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14.51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38DDC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8.11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</w:tcPr>
          <w:p w14:paraId="4C7FE848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kern w:val="0"/>
                <w:szCs w:val="24"/>
              </w:rPr>
            </w:pPr>
            <w:r>
              <w:rPr>
                <w:rFonts w:hint="eastAsia" w:ascii="宋体" w:hAnsi="宋体" w:cs="宋体"/>
                <w:kern w:val="0"/>
                <w:szCs w:val="24"/>
              </w:rPr>
              <w:t>委托外单位处置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9CCFD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6.4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C568A2">
            <w:pPr>
              <w:widowControl/>
              <w:spacing w:beforeLines="0" w:line="240" w:lineRule="auto"/>
              <w:ind w:firstLine="0" w:firstLineChars="0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危废</w:t>
            </w:r>
          </w:p>
        </w:tc>
      </w:tr>
      <w:tr w14:paraId="453D4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6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420FE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15</w:t>
            </w: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4AEBA8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其他危废</w:t>
            </w:r>
          </w:p>
        </w:tc>
        <w:tc>
          <w:tcPr>
            <w:tcW w:w="111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5AF82D50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kern w:val="0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4"/>
                <w:lang w:val="en-US" w:eastAsia="zh-CN"/>
              </w:rPr>
              <w:t>吨</w:t>
            </w:r>
          </w:p>
        </w:tc>
        <w:tc>
          <w:tcPr>
            <w:tcW w:w="13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EF222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</w:t>
            </w:r>
          </w:p>
        </w:tc>
        <w:tc>
          <w:tcPr>
            <w:tcW w:w="10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FE5547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12.36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693A7C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11.96</w:t>
            </w:r>
          </w:p>
        </w:tc>
        <w:tc>
          <w:tcPr>
            <w:tcW w:w="17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37AAB684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eastAsia="宋体" w:cs="宋体"/>
                <w:kern w:val="0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4"/>
                <w:lang w:val="en-US" w:eastAsia="zh-CN"/>
              </w:rPr>
              <w:t>委托外单位处置</w:t>
            </w:r>
          </w:p>
        </w:tc>
        <w:tc>
          <w:tcPr>
            <w:tcW w:w="8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9A7985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default" w:ascii="宋体" w:hAnsi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0.4</w:t>
            </w:r>
          </w:p>
        </w:tc>
        <w:tc>
          <w:tcPr>
            <w:tcW w:w="6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4BA3F">
            <w:pPr>
              <w:widowControl/>
              <w:spacing w:beforeLines="0" w:line="240" w:lineRule="auto"/>
              <w:ind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lang w:val="en-US" w:eastAsia="zh-CN"/>
              </w:rPr>
              <w:t>危废</w:t>
            </w:r>
          </w:p>
        </w:tc>
      </w:tr>
    </w:tbl>
    <w:p w14:paraId="7AA58173">
      <w:pPr>
        <w:spacing w:before="156"/>
        <w:ind w:firstLine="640"/>
        <w:rPr>
          <w:rFonts w:eastAsia="仿宋_GB2312"/>
          <w:color w:val="000000"/>
          <w:sz w:val="32"/>
          <w:szCs w:val="32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AF2DBF">
    <w:pPr>
      <w:pStyle w:val="3"/>
      <w:spacing w:before="12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91D4D0">
    <w:pPr>
      <w:pStyle w:val="3"/>
      <w:spacing w:before="12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54C07">
    <w:pPr>
      <w:pStyle w:val="3"/>
      <w:spacing w:before="12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8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99516E">
    <w:pPr>
      <w:pStyle w:val="4"/>
      <w:spacing w:before="120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6745F2">
    <w:pPr>
      <w:pStyle w:val="4"/>
      <w:spacing w:before="120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9A06B9">
    <w:pPr>
      <w:pStyle w:val="4"/>
      <w:spacing w:before="120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25A261A"/>
    <w:multiLevelType w:val="multilevel"/>
    <w:tmpl w:val="425A261A"/>
    <w:lvl w:ilvl="0" w:tentative="0">
      <w:start w:val="1"/>
      <w:numFmt w:val="japaneseCounting"/>
      <w:lvlText w:val="%1、"/>
      <w:lvlJc w:val="left"/>
      <w:pPr>
        <w:tabs>
          <w:tab w:val="left" w:pos="1146"/>
        </w:tabs>
        <w:ind w:left="1146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1480"/>
        </w:tabs>
        <w:ind w:left="14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900"/>
        </w:tabs>
        <w:ind w:left="19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320"/>
        </w:tabs>
        <w:ind w:left="23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740"/>
        </w:tabs>
        <w:ind w:left="27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160"/>
        </w:tabs>
        <w:ind w:left="31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580"/>
        </w:tabs>
        <w:ind w:left="35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4000"/>
        </w:tabs>
        <w:ind w:left="40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zAyM2FmNGM2ZmNhNWNmYWRiOTVhYmYxNThjNDg5MjYifQ=="/>
  </w:docVars>
  <w:rsids>
    <w:rsidRoot w:val="00F33536"/>
    <w:rsid w:val="00132D68"/>
    <w:rsid w:val="002A518B"/>
    <w:rsid w:val="002E6C81"/>
    <w:rsid w:val="00494E8B"/>
    <w:rsid w:val="00947BAC"/>
    <w:rsid w:val="00AB0762"/>
    <w:rsid w:val="00AE299D"/>
    <w:rsid w:val="00BE3262"/>
    <w:rsid w:val="00CF4551"/>
    <w:rsid w:val="00DF07D7"/>
    <w:rsid w:val="00E22522"/>
    <w:rsid w:val="00E82F53"/>
    <w:rsid w:val="00E91569"/>
    <w:rsid w:val="00E92A30"/>
    <w:rsid w:val="00EE33B6"/>
    <w:rsid w:val="00F04516"/>
    <w:rsid w:val="00F33536"/>
    <w:rsid w:val="00F47EF4"/>
    <w:rsid w:val="01C41055"/>
    <w:rsid w:val="05370F2B"/>
    <w:rsid w:val="05472EB3"/>
    <w:rsid w:val="0A203C34"/>
    <w:rsid w:val="13A435BB"/>
    <w:rsid w:val="158C3568"/>
    <w:rsid w:val="19517C0D"/>
    <w:rsid w:val="1E8C32A7"/>
    <w:rsid w:val="2019329E"/>
    <w:rsid w:val="22BD2006"/>
    <w:rsid w:val="2338088B"/>
    <w:rsid w:val="24110FA1"/>
    <w:rsid w:val="25CF1B2A"/>
    <w:rsid w:val="28395323"/>
    <w:rsid w:val="34403A44"/>
    <w:rsid w:val="35C91C87"/>
    <w:rsid w:val="39C232DE"/>
    <w:rsid w:val="3D76730E"/>
    <w:rsid w:val="435C01F6"/>
    <w:rsid w:val="45184506"/>
    <w:rsid w:val="48A92326"/>
    <w:rsid w:val="4AE77CDB"/>
    <w:rsid w:val="59486BB4"/>
    <w:rsid w:val="5DC0337C"/>
    <w:rsid w:val="666225B9"/>
    <w:rsid w:val="68971CF4"/>
    <w:rsid w:val="69B40594"/>
    <w:rsid w:val="6A156F37"/>
    <w:rsid w:val="6D6865A8"/>
    <w:rsid w:val="70C40704"/>
    <w:rsid w:val="71143F2E"/>
    <w:rsid w:val="72B04D13"/>
    <w:rsid w:val="75DE05D5"/>
    <w:rsid w:val="78B77C23"/>
    <w:rsid w:val="79AB6836"/>
    <w:rsid w:val="7F8D3D6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50" w:line="440" w:lineRule="exact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7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7">
    <w:name w:val="文档结构图 Char"/>
    <w:basedOn w:val="6"/>
    <w:link w:val="2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8">
    <w:name w:val="页眉 Char"/>
    <w:basedOn w:val="6"/>
    <w:link w:val="4"/>
    <w:semiHidden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884</Words>
  <Characters>1173</Characters>
  <Lines>9</Lines>
  <Paragraphs>2</Paragraphs>
  <TotalTime>55</TotalTime>
  <ScaleCrop>false</ScaleCrop>
  <LinksUpToDate>false</LinksUpToDate>
  <CharactersWithSpaces>1212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2021-06-09T03:52:00Z</dcterms:created>
  <dc:creator>www</dc:creator>
  <cp:lastModifiedBy>WPS_1602511379</cp:lastModifiedBy>
  <dcterms:modified xsi:type="dcterms:W3CDTF">2025-01-08T03:26:54Z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A14E01ED85C5493DA3CC8CD1B2554869</vt:lpwstr>
  </property>
  <property fmtid="{D5CDD505-2E9C-101B-9397-08002B2CF9AE}" pid="4" name="KSOTemplateDocerSaveRecord">
    <vt:lpwstr>eyJoZGlkIjoiY2Y2ZTVjMGEyZTEyMWE2MDE4OTU2MWIwZGIyNTg3MGIiLCJ1c2VySWQiOiIxMTMwNzA1MjM5In0=</vt:lpwstr>
  </property>
</Properties>
</file>