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56" w:afterLines="50" w:line="360" w:lineRule="auto"/>
        <w:ind w:firstLine="0" w:firstLineChars="0"/>
        <w:jc w:val="center"/>
        <w:outlineLvl w:val="0"/>
        <w:rPr>
          <w:rFonts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202</w:t>
      </w:r>
      <w:r>
        <w:rPr>
          <w:rFonts w:hint="eastAsia" w:eastAsia="方正小标宋简体"/>
          <w:sz w:val="44"/>
          <w:szCs w:val="44"/>
          <w:lang w:val="en-US" w:eastAsia="zh-CN"/>
        </w:rPr>
        <w:t>1</w:t>
      </w:r>
      <w:r>
        <w:rPr>
          <w:rFonts w:hint="eastAsia" w:eastAsia="方正小标宋简体"/>
          <w:sz w:val="44"/>
          <w:szCs w:val="44"/>
        </w:rPr>
        <w:t>年北京华新凯业物资再生有限公司</w:t>
      </w:r>
    </w:p>
    <w:p>
      <w:pPr>
        <w:spacing w:before="156" w:afterLines="50" w:line="360" w:lineRule="auto"/>
        <w:ind w:firstLine="0" w:firstLineChars="0"/>
        <w:jc w:val="center"/>
        <w:outlineLvl w:val="0"/>
        <w:rPr>
          <w:rFonts w:eastAsia="黑体"/>
          <w:b/>
          <w:sz w:val="32"/>
          <w:szCs w:val="32"/>
        </w:rPr>
      </w:pPr>
      <w:r>
        <w:rPr>
          <w:rFonts w:eastAsia="方正小标宋简体"/>
          <w:sz w:val="44"/>
          <w:szCs w:val="44"/>
        </w:rPr>
        <w:t>企业自行监测</w:t>
      </w:r>
      <w:r>
        <w:rPr>
          <w:rFonts w:hint="eastAsia" w:eastAsia="方正小标宋简体"/>
          <w:sz w:val="44"/>
          <w:szCs w:val="44"/>
        </w:rPr>
        <w:t>年度报告</w:t>
      </w:r>
    </w:p>
    <w:p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="537" w:firstLineChars="168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企业基本情况</w:t>
      </w:r>
    </w:p>
    <w:p>
      <w:pPr>
        <w:spacing w:beforeLines="0" w:line="240" w:lineRule="auto"/>
        <w:ind w:firstLine="537" w:firstLineChars="168"/>
        <w:jc w:val="left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北京华新凯业物资再生有限公司</w:t>
      </w:r>
      <w:r>
        <w:rPr>
          <w:rFonts w:eastAsia="仿宋_GB2312"/>
          <w:color w:val="000000"/>
          <w:sz w:val="32"/>
          <w:szCs w:val="32"/>
        </w:rPr>
        <w:t>位于</w:t>
      </w:r>
      <w:r>
        <w:rPr>
          <w:rFonts w:hint="eastAsia" w:eastAsia="仿宋_GB2312"/>
          <w:color w:val="000000"/>
          <w:sz w:val="32"/>
          <w:szCs w:val="32"/>
        </w:rPr>
        <w:t>顺义区高丽营镇前渠河村，南临北六环200米，北靠顺沙路，西距京承高速4公里，东至顺义城区10公里。厂区占地面积约50亩，土地用地为工业用地，厂区内各类用房建筑面积6000多平方米。厂区按功能划分为办公区、报废车辆贮存区、拆解作业区、精拆区、配件仓库、危废仓库等。</w:t>
      </w:r>
    </w:p>
    <w:p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="537" w:firstLineChars="168"/>
        <w:jc w:val="left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监测方案的调整变化情况</w:t>
      </w:r>
    </w:p>
    <w:p>
      <w:pPr>
        <w:spacing w:before="156"/>
        <w:ind w:firstLine="640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检测方案无调整，且我公司采用过滤，冷凝+活性炭吸附，等离子+活性炭吸附，絮凝+沉淀+活性炭吸附组合技术的处理工艺，污染防治设施运行一切正常。</w:t>
      </w:r>
    </w:p>
    <w:p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="537" w:firstLineChars="168"/>
        <w:jc w:val="left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监测情况</w:t>
      </w:r>
    </w:p>
    <w:p>
      <w:pPr>
        <w:tabs>
          <w:tab w:val="left" w:pos="0"/>
        </w:tabs>
        <w:spacing w:beforeLines="0" w:line="240" w:lineRule="auto"/>
        <w:ind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202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eastAsia="仿宋_GB2312"/>
          <w:color w:val="000000"/>
          <w:sz w:val="32"/>
          <w:szCs w:val="32"/>
        </w:rPr>
        <w:t>年，本企业共生产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250</w:t>
      </w:r>
      <w:r>
        <w:rPr>
          <w:rFonts w:hint="eastAsia" w:eastAsia="仿宋_GB2312"/>
          <w:color w:val="000000"/>
          <w:sz w:val="32"/>
          <w:szCs w:val="32"/>
        </w:rPr>
        <w:t>天，开展环境监测7次。其中，对企业3个废气监测点开展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5</w:t>
      </w:r>
      <w:r>
        <w:rPr>
          <w:rFonts w:hint="eastAsia" w:eastAsia="仿宋_GB2312"/>
          <w:color w:val="000000"/>
          <w:sz w:val="32"/>
          <w:szCs w:val="32"/>
        </w:rPr>
        <w:t>次监测</w:t>
      </w:r>
      <w:r>
        <w:rPr>
          <w:rFonts w:hint="eastAsia" w:eastAsia="仿宋_GB2312"/>
          <w:sz w:val="32"/>
          <w:szCs w:val="32"/>
        </w:rPr>
        <w:t>，对1个废水监测点开展2次监测。</w:t>
      </w:r>
    </w:p>
    <w:p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="537" w:firstLineChars="168"/>
        <w:jc w:val="left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监测结果</w:t>
      </w:r>
    </w:p>
    <w:p>
      <w:pPr>
        <w:tabs>
          <w:tab w:val="left" w:pos="0"/>
        </w:tabs>
        <w:spacing w:beforeLines="0" w:line="240" w:lineRule="auto"/>
        <w:ind w:firstLine="537" w:firstLineChars="168"/>
        <w:jc w:val="left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1．废气污染物排放监测结果</w:t>
      </w:r>
    </w:p>
    <w:p>
      <w:pPr>
        <w:tabs>
          <w:tab w:val="left" w:pos="0"/>
        </w:tabs>
        <w:spacing w:beforeLines="0" w:line="240" w:lineRule="auto"/>
        <w:ind w:firstLine="537" w:firstLineChars="168"/>
        <w:jc w:val="left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全年共监测废气污染物3项，包括颗粒物、非甲烷总烃、苯系物。其中，颗粒物共监测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eastAsia="仿宋_GB2312"/>
          <w:color w:val="000000"/>
          <w:sz w:val="32"/>
          <w:szCs w:val="32"/>
        </w:rPr>
        <w:t>次，年平均监测浓度为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2.3</w:t>
      </w:r>
      <w:r>
        <w:rPr>
          <w:rFonts w:hint="eastAsia" w:eastAsia="仿宋_GB2312"/>
          <w:color w:val="000000"/>
          <w:sz w:val="32"/>
          <w:szCs w:val="32"/>
        </w:rPr>
        <w:t>mg/m</w:t>
      </w:r>
      <w:r>
        <w:rPr>
          <w:rFonts w:hint="eastAsia" w:eastAsia="仿宋_GB2312"/>
          <w:color w:val="000000"/>
          <w:sz w:val="32"/>
          <w:szCs w:val="32"/>
          <w:vertAlign w:val="superscript"/>
        </w:rPr>
        <w:t>3</w:t>
      </w:r>
      <w:r>
        <w:rPr>
          <w:rFonts w:hint="eastAsia" w:eastAsia="仿宋_GB2312"/>
          <w:color w:val="000000"/>
          <w:sz w:val="32"/>
          <w:szCs w:val="32"/>
        </w:rPr>
        <w:t>，监测浓度最大值为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4.1</w:t>
      </w:r>
      <w:r>
        <w:rPr>
          <w:rFonts w:hint="eastAsia" w:eastAsia="仿宋_GB2312"/>
          <w:color w:val="000000"/>
          <w:sz w:val="32"/>
          <w:szCs w:val="32"/>
        </w:rPr>
        <w:t>mg/m</w:t>
      </w:r>
      <w:r>
        <w:rPr>
          <w:rFonts w:hint="eastAsia" w:eastAsia="仿宋_GB2312"/>
          <w:color w:val="000000"/>
          <w:sz w:val="32"/>
          <w:szCs w:val="32"/>
          <w:vertAlign w:val="superscript"/>
        </w:rPr>
        <w:t>3</w:t>
      </w:r>
      <w:r>
        <w:rPr>
          <w:rFonts w:hint="eastAsia" w:eastAsia="仿宋_GB2312"/>
          <w:color w:val="000000"/>
          <w:sz w:val="32"/>
          <w:szCs w:val="32"/>
        </w:rPr>
        <w:t>，最小值为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1.5</w:t>
      </w:r>
      <w:r>
        <w:rPr>
          <w:rFonts w:hint="eastAsia" w:eastAsia="仿宋_GB2312"/>
          <w:color w:val="000000"/>
          <w:sz w:val="32"/>
          <w:szCs w:val="32"/>
        </w:rPr>
        <w:t>mg/m</w:t>
      </w:r>
      <w:r>
        <w:rPr>
          <w:rFonts w:hint="eastAsia" w:eastAsia="仿宋_GB2312"/>
          <w:color w:val="000000"/>
          <w:sz w:val="32"/>
          <w:szCs w:val="32"/>
          <w:vertAlign w:val="superscript"/>
        </w:rPr>
        <w:t>3</w:t>
      </w:r>
      <w:r>
        <w:rPr>
          <w:rFonts w:hint="eastAsia" w:eastAsia="仿宋_GB2312"/>
          <w:color w:val="000000"/>
          <w:sz w:val="32"/>
          <w:szCs w:val="32"/>
        </w:rPr>
        <w:t>，达标率为100%。</w:t>
      </w:r>
    </w:p>
    <w:p>
      <w:pPr>
        <w:tabs>
          <w:tab w:val="left" w:pos="0"/>
        </w:tabs>
        <w:spacing w:beforeLines="0" w:line="240" w:lineRule="auto"/>
        <w:ind w:firstLine="537" w:firstLineChars="168"/>
        <w:jc w:val="left"/>
        <w:outlineLvl w:val="0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2．废水污染物排放监测结果</w:t>
      </w:r>
    </w:p>
    <w:p>
      <w:pPr>
        <w:tabs>
          <w:tab w:val="left" w:pos="0"/>
        </w:tabs>
        <w:spacing w:beforeLines="0" w:line="240" w:lineRule="auto"/>
        <w:ind w:firstLine="537" w:firstLineChars="168"/>
        <w:jc w:val="left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全年共监测废水污染物5项，包括PH值、悬浮物、化学需氧量、氨氮、石油类，共监测2次，达标率为100%。</w:t>
      </w:r>
    </w:p>
    <w:p>
      <w:pPr>
        <w:tabs>
          <w:tab w:val="left" w:pos="0"/>
        </w:tabs>
        <w:spacing w:beforeLines="0" w:line="240" w:lineRule="auto"/>
        <w:ind w:firstLine="537" w:firstLineChars="168"/>
        <w:jc w:val="left"/>
        <w:outlineLvl w:val="0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3．厂界噪声监测结果</w:t>
      </w:r>
    </w:p>
    <w:p>
      <w:pPr>
        <w:tabs>
          <w:tab w:val="left" w:pos="0"/>
        </w:tabs>
        <w:spacing w:beforeLines="0" w:line="240" w:lineRule="auto"/>
        <w:ind w:firstLine="537" w:firstLineChars="168"/>
        <w:jc w:val="left"/>
        <w:rPr>
          <w:rFonts w:hint="default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eastAsia="仿宋_GB2312"/>
          <w:color w:val="000000"/>
          <w:sz w:val="32"/>
          <w:szCs w:val="32"/>
        </w:rPr>
        <w:t>厂内噪声监测点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eastAsia="仿宋_GB2312"/>
          <w:color w:val="000000"/>
          <w:sz w:val="32"/>
          <w:szCs w:val="32"/>
        </w:rPr>
        <w:t>个，结果分别是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78.8，84.1，83.7，84.6</w:t>
      </w:r>
      <w:r>
        <w:rPr>
          <w:rFonts w:hint="eastAsia" w:eastAsia="仿宋_GB2312"/>
          <w:color w:val="000000"/>
          <w:sz w:val="32"/>
          <w:szCs w:val="32"/>
        </w:rPr>
        <w:t>平均值：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82.8</w:t>
      </w:r>
    </w:p>
    <w:p>
      <w:pPr>
        <w:tabs>
          <w:tab w:val="left" w:pos="0"/>
        </w:tabs>
        <w:spacing w:beforeLines="0" w:line="240" w:lineRule="auto"/>
        <w:ind w:firstLine="537" w:firstLineChars="168"/>
        <w:jc w:val="left"/>
        <w:outlineLvl w:val="0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4．周边环境质量影响状况监测结果</w:t>
      </w:r>
    </w:p>
    <w:p>
      <w:pPr>
        <w:spacing w:beforeLines="0" w:line="240" w:lineRule="auto"/>
        <w:ind w:left="538" w:firstLine="0" w:firstLineChars="0"/>
        <w:jc w:val="left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五、污染物排放量情况</w:t>
      </w:r>
    </w:p>
    <w:p>
      <w:pPr>
        <w:spacing w:before="156"/>
        <w:ind w:firstLine="640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1．固体废弃物的类型：废铝，废塑料，废铁，废铜，废橡胶，杂料；详细数量见下表。处置方式：均由下游企业运走。</w:t>
      </w:r>
    </w:p>
    <w:tbl>
      <w:tblPr>
        <w:tblStyle w:val="5"/>
        <w:tblpPr w:leftFromText="180" w:rightFromText="180" w:vertAnchor="text" w:horzAnchor="page" w:tblpX="1092" w:tblpY="928"/>
        <w:tblOverlap w:val="never"/>
        <w:tblW w:w="1050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4"/>
        <w:gridCol w:w="1302"/>
        <w:gridCol w:w="843"/>
        <w:gridCol w:w="1054"/>
        <w:gridCol w:w="1103"/>
        <w:gridCol w:w="1103"/>
        <w:gridCol w:w="2092"/>
        <w:gridCol w:w="1118"/>
        <w:gridCol w:w="124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1050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北京华新凯业物资再生有限公司2021年度固体废物管理台账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物料名称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库存单位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前期贮存量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产生量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处理量</w:t>
            </w:r>
          </w:p>
        </w:tc>
        <w:tc>
          <w:tcPr>
            <w:tcW w:w="2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流向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贮存量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属性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锂电池库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.8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28.79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31.67</w:t>
            </w:r>
          </w:p>
        </w:tc>
        <w:tc>
          <w:tcPr>
            <w:tcW w:w="2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委托外单位利用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3.92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钢铁库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1970.37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16279.04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16587.05</w:t>
            </w:r>
          </w:p>
        </w:tc>
        <w:tc>
          <w:tcPr>
            <w:tcW w:w="2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委托外单位利用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1662.36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铝库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176.28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610.26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501.43</w:t>
            </w:r>
          </w:p>
        </w:tc>
        <w:tc>
          <w:tcPr>
            <w:tcW w:w="2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委托外单位利用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285.11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配件库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4190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48970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48751</w:t>
            </w:r>
          </w:p>
        </w:tc>
        <w:tc>
          <w:tcPr>
            <w:tcW w:w="2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委托外单位利用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4409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废轮胎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35487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35706</w:t>
            </w:r>
          </w:p>
        </w:tc>
        <w:tc>
          <w:tcPr>
            <w:tcW w:w="2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委托外单位利用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塑料库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101.65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349.08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340.81</w:t>
            </w:r>
          </w:p>
        </w:tc>
        <w:tc>
          <w:tcPr>
            <w:tcW w:w="2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委托外单位利用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109.92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铜库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62.89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244.81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217.66</w:t>
            </w:r>
          </w:p>
        </w:tc>
        <w:tc>
          <w:tcPr>
            <w:tcW w:w="2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委托外单位利用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90.04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橡胶库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20.37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48.94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47.6</w:t>
            </w:r>
          </w:p>
        </w:tc>
        <w:tc>
          <w:tcPr>
            <w:tcW w:w="2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委托外单位利用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21.71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杂料库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吨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44.01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318.38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319.1</w:t>
            </w:r>
          </w:p>
        </w:tc>
        <w:tc>
          <w:tcPr>
            <w:tcW w:w="2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委托外单位利用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43.29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电池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吨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21.6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192.6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183.54</w:t>
            </w:r>
          </w:p>
        </w:tc>
        <w:tc>
          <w:tcPr>
            <w:tcW w:w="2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委托单位利用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31.34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危废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机油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吨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10.88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44.42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46.92</w:t>
            </w:r>
          </w:p>
        </w:tc>
        <w:tc>
          <w:tcPr>
            <w:tcW w:w="2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委托外单位处置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8.38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危废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吨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8.883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13.61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10.69</w:t>
            </w:r>
          </w:p>
        </w:tc>
        <w:tc>
          <w:tcPr>
            <w:tcW w:w="2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委托单位利用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11.71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危废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其他危废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吨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9.58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21.455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20.87</w:t>
            </w:r>
          </w:p>
        </w:tc>
        <w:tc>
          <w:tcPr>
            <w:tcW w:w="2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委托外单位处置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10.14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危废</w:t>
            </w:r>
          </w:p>
        </w:tc>
      </w:tr>
    </w:tbl>
    <w:p>
      <w:pPr>
        <w:spacing w:before="156"/>
        <w:ind w:firstLine="640"/>
      </w:pPr>
    </w:p>
    <w:p>
      <w:pPr>
        <w:spacing w:before="156"/>
        <w:ind w:firstLine="640"/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CF3C52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before="120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before="120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before="120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480"/>
      </w:pPr>
      <w:r>
        <w:separator/>
      </w:r>
    </w:p>
  </w:footnote>
  <w:footnote w:type="continuationSeparator" w:id="1">
    <w:p>
      <w:pPr>
        <w:spacing w:before="0" w:after="0" w:line="240" w:lineRule="auto"/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before="120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before="120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before="120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25A261A"/>
    <w:multiLevelType w:val="multilevel"/>
    <w:tmpl w:val="425A261A"/>
    <w:lvl w:ilvl="0" w:tentative="0">
      <w:start w:val="1"/>
      <w:numFmt w:val="japaneseCounting"/>
      <w:lvlText w:val="%1、"/>
      <w:lvlJc w:val="left"/>
      <w:pPr>
        <w:tabs>
          <w:tab w:val="left" w:pos="1146"/>
        </w:tabs>
        <w:ind w:left="1146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1480"/>
        </w:tabs>
        <w:ind w:left="148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900"/>
        </w:tabs>
        <w:ind w:left="1900" w:hanging="420"/>
      </w:pPr>
    </w:lvl>
    <w:lvl w:ilvl="3" w:tentative="0">
      <w:start w:val="1"/>
      <w:numFmt w:val="decimal"/>
      <w:lvlText w:val="%4."/>
      <w:lvlJc w:val="left"/>
      <w:pPr>
        <w:tabs>
          <w:tab w:val="left" w:pos="2320"/>
        </w:tabs>
        <w:ind w:left="232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740"/>
        </w:tabs>
        <w:ind w:left="274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3160"/>
        </w:tabs>
        <w:ind w:left="3160" w:hanging="420"/>
      </w:pPr>
    </w:lvl>
    <w:lvl w:ilvl="6" w:tentative="0">
      <w:start w:val="1"/>
      <w:numFmt w:val="decimal"/>
      <w:lvlText w:val="%7."/>
      <w:lvlJc w:val="left"/>
      <w:pPr>
        <w:tabs>
          <w:tab w:val="left" w:pos="3580"/>
        </w:tabs>
        <w:ind w:left="358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4000"/>
        </w:tabs>
        <w:ind w:left="400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4420"/>
        </w:tabs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DUyNDEwYjhhYjE1NWVmNThjOWNlNDE5YWQ0ODE2YzkifQ=="/>
  </w:docVars>
  <w:rsids>
    <w:rsidRoot w:val="00F33536"/>
    <w:rsid w:val="002A518B"/>
    <w:rsid w:val="002E6C81"/>
    <w:rsid w:val="00494E8B"/>
    <w:rsid w:val="00625998"/>
    <w:rsid w:val="00947BAC"/>
    <w:rsid w:val="00AE299D"/>
    <w:rsid w:val="00E82F53"/>
    <w:rsid w:val="00E91569"/>
    <w:rsid w:val="00E92A30"/>
    <w:rsid w:val="00F33536"/>
    <w:rsid w:val="0A203C34"/>
    <w:rsid w:val="13A435BB"/>
    <w:rsid w:val="1E8C32A7"/>
    <w:rsid w:val="2019329E"/>
    <w:rsid w:val="22BD2006"/>
    <w:rsid w:val="24110FA1"/>
    <w:rsid w:val="25CF1B2A"/>
    <w:rsid w:val="28395323"/>
    <w:rsid w:val="35C91C87"/>
    <w:rsid w:val="39C232DE"/>
    <w:rsid w:val="3D76730E"/>
    <w:rsid w:val="45184506"/>
    <w:rsid w:val="48A92326"/>
    <w:rsid w:val="4AE77CDB"/>
    <w:rsid w:val="59486BB4"/>
    <w:rsid w:val="666225B9"/>
    <w:rsid w:val="68971CF4"/>
    <w:rsid w:val="6A156F37"/>
    <w:rsid w:val="71143F2E"/>
    <w:rsid w:val="72B04D13"/>
    <w:rsid w:val="75DE05D5"/>
    <w:rsid w:val="78B77C23"/>
    <w:rsid w:val="7F8D3D6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Lines="50" w:line="440" w:lineRule="exact"/>
      <w:ind w:firstLine="200" w:firstLineChars="200"/>
      <w:jc w:val="both"/>
    </w:pPr>
    <w:rPr>
      <w:rFonts w:ascii="Times New Roman" w:hAnsi="Times New Roman" w:eastAsia="宋体" w:cs="Times New Roman"/>
      <w:kern w:val="2"/>
      <w:sz w:val="24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7"/>
    <w:semiHidden/>
    <w:unhideWhenUsed/>
    <w:qFormat/>
    <w:uiPriority w:val="99"/>
    <w:rPr>
      <w:rFonts w:ascii="宋体"/>
      <w:sz w:val="18"/>
      <w:szCs w:val="18"/>
    </w:r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7">
    <w:name w:val="文档结构图 Char"/>
    <w:basedOn w:val="6"/>
    <w:link w:val="2"/>
    <w:semiHidden/>
    <w:qFormat/>
    <w:uiPriority w:val="99"/>
    <w:rPr>
      <w:rFonts w:ascii="宋体" w:hAnsi="Times New Roman" w:eastAsia="宋体" w:cs="Times New Roman"/>
      <w:sz w:val="18"/>
      <w:szCs w:val="18"/>
    </w:rPr>
  </w:style>
  <w:style w:type="character" w:customStyle="1" w:styleId="8">
    <w:name w:val="页眉 Char"/>
    <w:basedOn w:val="6"/>
    <w:link w:val="4"/>
    <w:semiHidden/>
    <w:qFormat/>
    <w:uiPriority w:val="99"/>
    <w:rPr>
      <w:kern w:val="2"/>
      <w:sz w:val="18"/>
      <w:szCs w:val="18"/>
    </w:rPr>
  </w:style>
  <w:style w:type="character" w:customStyle="1" w:styleId="9">
    <w:name w:val="页脚 Char"/>
    <w:basedOn w:val="6"/>
    <w:link w:val="3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3</Pages>
  <Words>843</Words>
  <Characters>1124</Characters>
  <Lines>8</Lines>
  <Paragraphs>2</Paragraphs>
  <TotalTime>6</TotalTime>
  <ScaleCrop>false</ScaleCrop>
  <LinksUpToDate>false</LinksUpToDate>
  <CharactersWithSpaces>1124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2021-06-09T03:52:00Z</dcterms:created>
  <dc:creator>www</dc:creator>
  <cp:lastModifiedBy>最好的我们</cp:lastModifiedBy>
  <dcterms:modified xsi:type="dcterms:W3CDTF">2022-07-18T02:53:08Z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A14E01ED85C5493DA3CC8CD1B2554869</vt:lpwstr>
  </property>
</Properties>
</file>